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525281">
        <w:tc>
          <w:tcPr>
            <w:tcW w:w="5068" w:type="dxa"/>
            <w:tcBorders>
              <w:top w:val="nil"/>
              <w:left w:val="nil"/>
              <w:bottom w:val="nil"/>
              <w:right w:val="nil"/>
            </w:tcBorders>
            <w:shd w:val="clear" w:color="auto" w:fill="auto"/>
          </w:tcPr>
          <w:p w:rsidR="00525281" w:rsidRDefault="00525281">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525281" w:rsidRDefault="00C31349">
            <w:pPr>
              <w:pStyle w:val="Default"/>
              <w:spacing w:line="280" w:lineRule="exact"/>
              <w:rPr>
                <w:rFonts w:ascii="PT Astra Serif" w:hAnsi="PT Astra Serif"/>
                <w:iCs/>
                <w:color w:val="auto"/>
              </w:rPr>
            </w:pPr>
            <w:r>
              <w:rPr>
                <w:rFonts w:ascii="PT Astra Serif" w:hAnsi="PT Astra Serif"/>
                <w:iCs/>
                <w:color w:val="auto"/>
              </w:rPr>
              <w:t>УТВЕРЖДАЮ</w:t>
            </w:r>
          </w:p>
          <w:p w:rsidR="007A1A20" w:rsidRDefault="007E1B2D" w:rsidP="007E1B2D">
            <w:pPr>
              <w:pStyle w:val="Default"/>
              <w:spacing w:line="280" w:lineRule="exact"/>
              <w:rPr>
                <w:rFonts w:ascii="PT Astra Serif" w:hAnsi="PT Astra Serif"/>
                <w:iCs/>
                <w:color w:val="auto"/>
              </w:rPr>
            </w:pPr>
            <w:r w:rsidRPr="007E1B2D">
              <w:rPr>
                <w:rFonts w:ascii="PT Astra Serif" w:hAnsi="PT Astra Serif"/>
                <w:iCs/>
                <w:color w:val="auto"/>
              </w:rPr>
              <w:t>Заместитель директора Департамента, начальник управления инвестиционной политики Департамента экономического развития, предпринимательства и торгов</w:t>
            </w:r>
            <w:r>
              <w:rPr>
                <w:rFonts w:ascii="PT Astra Serif" w:hAnsi="PT Astra Serif"/>
                <w:iCs/>
                <w:color w:val="auto"/>
              </w:rPr>
              <w:t>ли Администрации города</w:t>
            </w:r>
            <w:r w:rsidR="007A1A20">
              <w:rPr>
                <w:rFonts w:ascii="PT Astra Serif" w:hAnsi="PT Astra Serif"/>
                <w:iCs/>
                <w:color w:val="auto"/>
              </w:rPr>
              <w:t xml:space="preserve"> Кургана</w:t>
            </w:r>
            <w:r>
              <w:rPr>
                <w:rFonts w:ascii="PT Astra Serif" w:hAnsi="PT Astra Serif"/>
                <w:iCs/>
                <w:color w:val="auto"/>
              </w:rPr>
              <w:t xml:space="preserve"> </w:t>
            </w:r>
          </w:p>
          <w:p w:rsidR="007E1B2D" w:rsidRDefault="00C31349" w:rsidP="007E1B2D">
            <w:pPr>
              <w:pStyle w:val="Default"/>
              <w:spacing w:line="280" w:lineRule="exact"/>
              <w:rPr>
                <w:rFonts w:ascii="PT Astra Serif" w:hAnsi="PT Astra Serif"/>
                <w:iCs/>
                <w:color w:val="auto"/>
              </w:rPr>
            </w:pPr>
            <w:r>
              <w:rPr>
                <w:rFonts w:ascii="PT Astra Serif" w:hAnsi="PT Astra Serif"/>
                <w:iCs/>
                <w:color w:val="auto"/>
              </w:rPr>
              <w:t>__________________</w:t>
            </w:r>
            <w:r w:rsidR="007E1B2D" w:rsidRPr="007E1B2D">
              <w:rPr>
                <w:rFonts w:ascii="PT Astra Serif" w:hAnsi="PT Astra Serif"/>
                <w:iCs/>
                <w:color w:val="auto"/>
              </w:rPr>
              <w:t xml:space="preserve"> С.А. Калугина</w:t>
            </w:r>
          </w:p>
          <w:p w:rsidR="00525281" w:rsidRDefault="00525281" w:rsidP="007E1B2D">
            <w:pPr>
              <w:pStyle w:val="Default"/>
              <w:spacing w:line="280" w:lineRule="exact"/>
              <w:rPr>
                <w:rFonts w:ascii="PT Astra Serif" w:hAnsi="PT Astra Serif"/>
                <w:iCs/>
                <w:color w:val="auto"/>
              </w:rPr>
            </w:pPr>
          </w:p>
        </w:tc>
      </w:tr>
    </w:tbl>
    <w:p w:rsidR="00525281" w:rsidRDefault="00525281">
      <w:pPr>
        <w:pStyle w:val="Default"/>
        <w:spacing w:line="280" w:lineRule="exact"/>
        <w:rPr>
          <w:rFonts w:ascii="PT Astra Serif" w:hAnsi="PT Astra Serif"/>
          <w:iCs/>
          <w:color w:val="auto"/>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0D1F09">
        <w:rPr>
          <w:rFonts w:ascii="PT Astra Serif" w:hAnsi="PT Astra Serif"/>
          <w:b/>
          <w:sz w:val="28"/>
          <w:szCs w:val="28"/>
        </w:rPr>
        <w:t xml:space="preserve"> на территории города Кургана-16</w:t>
      </w:r>
      <w:r>
        <w:rPr>
          <w:rFonts w:ascii="PT Astra Serif" w:hAnsi="PT Astra Serif"/>
          <w:b/>
          <w:sz w:val="28"/>
          <w:szCs w:val="28"/>
        </w:rPr>
        <w:t xml:space="preserve">,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w:t>
      </w:r>
      <w:r w:rsidR="00FD5343">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FD5343">
        <w:rPr>
          <w:rFonts w:ascii="PT Astra Serif" w:eastAsia="Times New Roman" w:hAnsi="PT Astra Serif"/>
          <w:sz w:val="24"/>
          <w:szCs w:val="24"/>
          <w:lang w:eastAsia="ru-RU"/>
        </w:rPr>
        <w:t xml:space="preserve"> Кургана</w:t>
      </w:r>
      <w:r w:rsidR="00437409">
        <w:rPr>
          <w:rFonts w:ascii="PT Astra Serif" w:eastAsia="Times New Roman" w:hAnsi="PT Astra Serif"/>
          <w:sz w:val="24"/>
          <w:szCs w:val="24"/>
          <w:lang w:eastAsia="ru-RU"/>
        </w:rPr>
        <w:t>»,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xml:space="preserve">Номер в схеме </w:t>
            </w:r>
            <w:r w:rsidRPr="00D72213">
              <w:rPr>
                <w:rFonts w:ascii="PT Astra Serif" w:eastAsia="Times New Roman" w:hAnsi="PT Astra Serif"/>
                <w:b/>
                <w:color w:val="000000"/>
                <w:sz w:val="24"/>
                <w:szCs w:val="24"/>
                <w:lang w:eastAsia="ru-RU"/>
              </w:rPr>
              <w:lastRenderedPageBreak/>
              <w:t>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lastRenderedPageBreak/>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CC7FD8"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D50A86" w:rsidRDefault="00CC7FD8"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9451A3" w:rsidRDefault="00CC7FD8" w:rsidP="00D76C3F">
            <w:pPr>
              <w:jc w:val="center"/>
              <w:rPr>
                <w:rFonts w:ascii="PT Astra Serif" w:hAnsi="PT Astra Serif"/>
                <w:color w:val="000000"/>
                <w:sz w:val="24"/>
                <w:szCs w:val="24"/>
              </w:rPr>
            </w:pPr>
            <w:r>
              <w:rPr>
                <w:rFonts w:ascii="PT Astra Serif" w:hAnsi="PT Astra Serif"/>
                <w:color w:val="000000"/>
                <w:sz w:val="24"/>
                <w:szCs w:val="24"/>
              </w:rPr>
              <w:t>4 микрорайон, в районе здания №25 (парк)</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CC7FD8" w:rsidP="00D76C3F">
            <w:pPr>
              <w:jc w:val="center"/>
              <w:rPr>
                <w:rFonts w:ascii="PT Astra Serif" w:hAnsi="PT Astra Serif"/>
                <w:color w:val="000000"/>
                <w:sz w:val="24"/>
                <w:szCs w:val="24"/>
              </w:rPr>
            </w:pPr>
            <w:r>
              <w:rPr>
                <w:rFonts w:ascii="PT Astra Serif" w:hAnsi="PT Astra Serif"/>
                <w:color w:val="000000"/>
                <w:sz w:val="24"/>
                <w:szCs w:val="24"/>
              </w:rPr>
              <w:t>27.1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CC7FD8" w:rsidP="00D76C3F">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221D20" w:rsidRDefault="00CC7FD8" w:rsidP="00D76C3F">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Default="00CC7FD8" w:rsidP="00D76C3F">
            <w:pPr>
              <w:jc w:val="center"/>
              <w:rPr>
                <w:rFonts w:ascii="PT Astra Serif" w:hAnsi="PT Astra Serif"/>
                <w:color w:val="000000"/>
                <w:sz w:val="24"/>
                <w:szCs w:val="24"/>
              </w:rPr>
            </w:pPr>
            <w:r>
              <w:rPr>
                <w:rFonts w:ascii="PT Astra Serif" w:hAnsi="PT Astra Serif"/>
                <w:color w:val="000000"/>
                <w:sz w:val="24"/>
                <w:szCs w:val="24"/>
              </w:rPr>
              <w:t>8</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7FD8" w:rsidRPr="00221D20" w:rsidRDefault="00CC7FD8" w:rsidP="00D76C3F">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3511E1" w:rsidRPr="00A476E7" w:rsidTr="009451A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511E1" w:rsidRDefault="003511E1"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3511E1" w:rsidRDefault="003511E1" w:rsidP="00D76C3F">
            <w:pPr>
              <w:rPr>
                <w:rFonts w:ascii="PT Astra Serif" w:hAnsi="PT Astra Serif"/>
                <w:color w:val="000000"/>
                <w:sz w:val="24"/>
                <w:szCs w:val="24"/>
              </w:rPr>
            </w:pPr>
            <w:r>
              <w:rPr>
                <w:rFonts w:ascii="PT Astra Serif" w:hAnsi="PT Astra Serif"/>
                <w:color w:val="000000"/>
                <w:sz w:val="24"/>
                <w:szCs w:val="24"/>
              </w:rPr>
              <w:t>4 микрорайон, в районе здания №25 (парк)</w:t>
            </w:r>
          </w:p>
        </w:tc>
        <w:tc>
          <w:tcPr>
            <w:tcW w:w="1728" w:type="dxa"/>
            <w:tcBorders>
              <w:left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7718,71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475A0F" w:rsidRDefault="003511E1" w:rsidP="001B15E7">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511E1" w:rsidRPr="009451A3"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385,94</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lastRenderedPageBreak/>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C31349">
        <w:rPr>
          <w:rFonts w:ascii="PT Astra Serif" w:hAnsi="PT Astra Serif"/>
          <w:sz w:val="24"/>
          <w:szCs w:val="24"/>
        </w:rPr>
        <w:t xml:space="preserve">Начало приема заявок на участие в аукционе – </w:t>
      </w:r>
      <w:r w:rsidR="000D1F09">
        <w:rPr>
          <w:rFonts w:ascii="PT Astra Serif" w:hAnsi="PT Astra Serif"/>
          <w:b/>
          <w:sz w:val="24"/>
          <w:szCs w:val="24"/>
        </w:rPr>
        <w:t>2</w:t>
      </w:r>
      <w:r w:rsidR="00394291">
        <w:rPr>
          <w:rFonts w:ascii="PT Astra Serif" w:hAnsi="PT Astra Serif"/>
          <w:b/>
          <w:sz w:val="24"/>
          <w:szCs w:val="24"/>
        </w:rPr>
        <w:t>1</w:t>
      </w:r>
      <w:r w:rsidR="00ED6638">
        <w:rPr>
          <w:rFonts w:ascii="PT Astra Serif" w:hAnsi="PT Astra Serif"/>
          <w:b/>
          <w:sz w:val="24"/>
          <w:szCs w:val="24"/>
        </w:rPr>
        <w:t>.07</w:t>
      </w:r>
      <w:r w:rsidR="00D817E1">
        <w:rPr>
          <w:rFonts w:ascii="PT Astra Serif" w:hAnsi="PT Astra Serif"/>
          <w:b/>
          <w:sz w:val="24"/>
          <w:szCs w:val="24"/>
        </w:rPr>
        <w:t>.2023</w:t>
      </w:r>
      <w:r w:rsidR="00C31349">
        <w:rPr>
          <w:rFonts w:ascii="PT Astra Serif" w:hAnsi="PT Astra Serif"/>
          <w:b/>
          <w:sz w:val="24"/>
          <w:szCs w:val="24"/>
        </w:rPr>
        <w:t xml:space="preserve"> </w:t>
      </w:r>
      <w:r w:rsidR="00C31349">
        <w:rPr>
          <w:rFonts w:ascii="PT Astra Serif" w:hAnsi="PT Astra Serif"/>
          <w:sz w:val="24"/>
          <w:szCs w:val="24"/>
        </w:rPr>
        <w:t xml:space="preserve">года в </w:t>
      </w:r>
      <w:r w:rsidR="00C31349">
        <w:rPr>
          <w:rFonts w:ascii="PT Astra Serif" w:hAnsi="PT Astra Serif"/>
          <w:b/>
          <w:sz w:val="24"/>
          <w:szCs w:val="24"/>
        </w:rPr>
        <w:t>00:00</w:t>
      </w:r>
      <w:r w:rsidR="00C31349">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0D1F09">
        <w:rPr>
          <w:rFonts w:ascii="PT Astra Serif" w:hAnsi="PT Astra Serif"/>
          <w:b/>
          <w:sz w:val="24"/>
          <w:szCs w:val="24"/>
        </w:rPr>
        <w:t>17</w:t>
      </w:r>
      <w:r w:rsidR="00ED6638">
        <w:rPr>
          <w:rFonts w:ascii="PT Astra Serif" w:hAnsi="PT Astra Serif"/>
          <w:b/>
          <w:sz w:val="24"/>
          <w:szCs w:val="24"/>
        </w:rPr>
        <w:t>.08</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0D1F09">
        <w:rPr>
          <w:rFonts w:ascii="PT Astra Serif" w:hAnsi="PT Astra Serif"/>
          <w:b/>
          <w:sz w:val="24"/>
          <w:szCs w:val="24"/>
        </w:rPr>
        <w:t>1</w:t>
      </w:r>
      <w:r w:rsidR="00ED6638">
        <w:rPr>
          <w:rFonts w:ascii="PT Astra Serif" w:hAnsi="PT Astra Serif"/>
          <w:b/>
          <w:sz w:val="24"/>
          <w:szCs w:val="24"/>
        </w:rPr>
        <w:t>8.08</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0D1F09">
        <w:rPr>
          <w:rFonts w:ascii="PT Astra Serif" w:hAnsi="PT Astra Serif"/>
          <w:b/>
          <w:sz w:val="24"/>
          <w:szCs w:val="24"/>
        </w:rPr>
        <w:t>21</w:t>
      </w:r>
      <w:r w:rsidR="00ED6638">
        <w:rPr>
          <w:rFonts w:ascii="PT Astra Serif" w:hAnsi="PT Astra Serif"/>
          <w:b/>
          <w:sz w:val="24"/>
          <w:szCs w:val="24"/>
        </w:rPr>
        <w:t>.08</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0D1F09">
        <w:rPr>
          <w:rFonts w:ascii="PT Astra Serif" w:hAnsi="PT Astra Serif"/>
          <w:b/>
          <w:sz w:val="24"/>
          <w:szCs w:val="24"/>
        </w:rPr>
        <w:t>22</w:t>
      </w:r>
      <w:r w:rsidR="00ED6638">
        <w:rPr>
          <w:rFonts w:ascii="PT Astra Serif" w:hAnsi="PT Astra Serif"/>
          <w:b/>
          <w:sz w:val="24"/>
          <w:szCs w:val="24"/>
        </w:rPr>
        <w:t>.08</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986599" w:rsidRDefault="00986599">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размещение нестационарного торгового объекта</w:t>
      </w:r>
      <w:r w:rsidR="00986599">
        <w:rPr>
          <w:rFonts w:ascii="PT Astra Serif" w:hAnsi="PT Astra Serif"/>
          <w:b/>
          <w:sz w:val="28"/>
          <w:szCs w:val="28"/>
        </w:rPr>
        <w:t xml:space="preserve"> на территории города Кургана-16</w:t>
      </w:r>
      <w:r w:rsidR="003D3377">
        <w:rPr>
          <w:rFonts w:ascii="PT Astra Serif" w:hAnsi="PT Astra Serif"/>
          <w:b/>
          <w:sz w:val="28"/>
          <w:szCs w:val="28"/>
        </w:rPr>
        <w:t xml:space="preserve">,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FD5343"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FD5343" w:rsidRDefault="00FD5343" w:rsidP="00FD534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Default="00FD5343" w:rsidP="00FD534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право заключения договора на размещение нестационарного</w:t>
      </w:r>
      <w:r w:rsidR="000C430C">
        <w:rPr>
          <w:rFonts w:ascii="PT Astra Serif" w:hAnsi="PT Astra Serif"/>
          <w:iCs/>
          <w:sz w:val="24"/>
          <w:szCs w:val="24"/>
        </w:rPr>
        <w:t xml:space="preserve"> торгового</w:t>
      </w:r>
      <w:r>
        <w:rPr>
          <w:rFonts w:ascii="PT Astra Serif" w:hAnsi="PT Astra Serif"/>
          <w:iCs/>
          <w:sz w:val="24"/>
          <w:szCs w:val="24"/>
        </w:rPr>
        <w:t xml:space="preserve"> объекта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постановлением Администрации города Кургана от 13.08.2020 г. №4697</w:t>
      </w:r>
      <w:r>
        <w:rPr>
          <w:rFonts w:ascii="PT Astra Serif" w:hAnsi="PT Astra Serif"/>
          <w:iCs/>
          <w:sz w:val="24"/>
          <w:szCs w:val="24"/>
          <w:lang w:eastAsia="ru-RU"/>
        </w:rPr>
        <w:t>), (</w:t>
      </w:r>
      <w:proofErr w:type="spellStart"/>
      <w:r>
        <w:rPr>
          <w:rFonts w:ascii="PT Astra Serif" w:hAnsi="PT Astra Serif"/>
          <w:iCs/>
          <w:sz w:val="24"/>
          <w:szCs w:val="24"/>
          <w:lang w:eastAsia="ru-RU"/>
        </w:rPr>
        <w:t>далее-Договор</w:t>
      </w:r>
      <w:proofErr w:type="spellEnd"/>
      <w:r>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3511E1" w:rsidRPr="00D72213" w:rsidTr="001B15E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72213" w:rsidRDefault="003511E1" w:rsidP="001B15E7">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3511E1" w:rsidRPr="00221D20" w:rsidTr="001B15E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50A86" w:rsidRDefault="003511E1" w:rsidP="003511E1">
            <w:pPr>
              <w:numPr>
                <w:ilvl w:val="0"/>
                <w:numId w:val="16"/>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9451A3" w:rsidRDefault="003511E1" w:rsidP="001B15E7">
            <w:pPr>
              <w:jc w:val="center"/>
              <w:rPr>
                <w:rFonts w:ascii="PT Astra Serif" w:hAnsi="PT Astra Serif"/>
                <w:color w:val="000000"/>
                <w:sz w:val="24"/>
                <w:szCs w:val="24"/>
              </w:rPr>
            </w:pPr>
            <w:r>
              <w:rPr>
                <w:rFonts w:ascii="PT Astra Serif" w:hAnsi="PT Astra Serif"/>
                <w:color w:val="000000"/>
                <w:sz w:val="24"/>
                <w:szCs w:val="24"/>
              </w:rPr>
              <w:t>4 микрорайон, в районе здания №25 (парк)</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olor w:val="000000"/>
                <w:sz w:val="24"/>
                <w:szCs w:val="24"/>
              </w:rPr>
            </w:pPr>
            <w:r>
              <w:rPr>
                <w:rFonts w:ascii="PT Astra Serif" w:hAnsi="PT Astra Serif"/>
                <w:color w:val="000000"/>
                <w:sz w:val="24"/>
                <w:szCs w:val="24"/>
              </w:rPr>
              <w:t>27.1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221D20" w:rsidRDefault="003511E1" w:rsidP="001B15E7">
            <w:pPr>
              <w:spacing w:after="0" w:line="240" w:lineRule="auto"/>
              <w:jc w:val="center"/>
              <w:rPr>
                <w:rFonts w:ascii="PT Astra Serif" w:eastAsia="Times New Roman" w:hAnsi="PT Astra Serif"/>
                <w:color w:val="000000"/>
                <w:sz w:val="24"/>
                <w:szCs w:val="24"/>
                <w:lang w:eastAsia="ru-RU"/>
              </w:rPr>
            </w:pPr>
            <w:r w:rsidRPr="009F2968">
              <w:rPr>
                <w:rFonts w:ascii="PT Astra Serif" w:eastAsia="Times New Roman" w:hAnsi="PT Astra Serif"/>
                <w:color w:val="000000"/>
                <w:sz w:val="24"/>
                <w:szCs w:val="24"/>
                <w:lang w:eastAsia="ru-RU"/>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olor w:val="000000"/>
                <w:sz w:val="24"/>
                <w:szCs w:val="24"/>
              </w:rPr>
            </w:pPr>
            <w:r>
              <w:rPr>
                <w:rFonts w:ascii="PT Astra Serif" w:hAnsi="PT Astra Serif"/>
                <w:color w:val="000000"/>
                <w:sz w:val="24"/>
                <w:szCs w:val="24"/>
              </w:rPr>
              <w:t>8</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221D20" w:rsidRDefault="003511E1" w:rsidP="001B15E7">
            <w:pPr>
              <w:spacing w:after="0" w:line="240" w:lineRule="auto"/>
              <w:jc w:val="center"/>
              <w:rPr>
                <w:rFonts w:ascii="PT Astra Serif" w:eastAsia="Times New Roman" w:hAnsi="PT Astra Serif"/>
                <w:color w:val="000000"/>
                <w:sz w:val="24"/>
                <w:szCs w:val="24"/>
                <w:lang w:eastAsia="ru-RU"/>
              </w:rPr>
            </w:pPr>
            <w:proofErr w:type="gramStart"/>
            <w:r w:rsidRPr="00221D20">
              <w:rPr>
                <w:rFonts w:ascii="PT Astra Serif" w:eastAsia="Times New Roman" w:hAnsi="PT Astra Serif"/>
                <w:color w:val="000000"/>
                <w:sz w:val="24"/>
                <w:szCs w:val="24"/>
                <w:lang w:eastAsia="ru-RU"/>
              </w:rPr>
              <w:t>с даты заключения</w:t>
            </w:r>
            <w:proofErr w:type="gramEnd"/>
            <w:r w:rsidRPr="00221D20">
              <w:rPr>
                <w:rFonts w:ascii="PT Astra Serif" w:eastAsia="Times New Roman" w:hAnsi="PT Astra Serif"/>
                <w:color w:val="000000"/>
                <w:sz w:val="24"/>
                <w:szCs w:val="24"/>
                <w:lang w:eastAsia="ru-RU"/>
              </w:rPr>
              <w:t xml:space="preserve"> до 08.02.2026г.</w:t>
            </w:r>
          </w:p>
        </w:tc>
      </w:tr>
    </w:tbl>
    <w:p w:rsidR="00EB30BB" w:rsidRDefault="00EB30BB"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w:t>
      </w:r>
      <w:r w:rsidR="003D3377" w:rsidRPr="00D50A86">
        <w:rPr>
          <w:rFonts w:ascii="PT Astra Serif" w:hAnsi="PT Astra Serif"/>
          <w:sz w:val="24"/>
          <w:szCs w:val="24"/>
          <w:lang w:val="ru-RU" w:eastAsia="ru-RU"/>
        </w:rPr>
        <w:lastRenderedPageBreak/>
        <w:t xml:space="preserve">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3511E1" w:rsidRPr="00A476E7" w:rsidTr="001B15E7">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50A86"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50A86"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A476E7"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A476E7"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3511E1" w:rsidRPr="00A476E7"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3511E1" w:rsidRPr="00A476E7" w:rsidRDefault="003511E1" w:rsidP="001B15E7">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3511E1" w:rsidRPr="009451A3" w:rsidTr="001B15E7">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511E1" w:rsidRDefault="003511E1" w:rsidP="001B15E7">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3511E1" w:rsidRDefault="003511E1" w:rsidP="001B15E7">
            <w:pPr>
              <w:rPr>
                <w:rFonts w:ascii="PT Astra Serif" w:hAnsi="PT Astra Serif"/>
                <w:color w:val="000000"/>
                <w:sz w:val="24"/>
                <w:szCs w:val="24"/>
              </w:rPr>
            </w:pPr>
            <w:r>
              <w:rPr>
                <w:rFonts w:ascii="PT Astra Serif" w:hAnsi="PT Astra Serif"/>
                <w:color w:val="000000"/>
                <w:sz w:val="24"/>
                <w:szCs w:val="24"/>
              </w:rPr>
              <w:t>4 микрорайон, в районе здания №25 (парк)</w:t>
            </w:r>
          </w:p>
        </w:tc>
        <w:tc>
          <w:tcPr>
            <w:tcW w:w="1728" w:type="dxa"/>
            <w:tcBorders>
              <w:left w:val="single" w:sz="4" w:space="0" w:color="000000"/>
              <w:right w:val="single" w:sz="4" w:space="0" w:color="000000"/>
            </w:tcBorders>
            <w:shd w:val="clear" w:color="auto" w:fill="auto"/>
            <w:vAlign w:val="center"/>
          </w:tcPr>
          <w:p w:rsidR="003511E1"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7718,71</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475A0F" w:rsidRDefault="003511E1" w:rsidP="001B15E7">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511E1" w:rsidRPr="009451A3" w:rsidRDefault="003511E1" w:rsidP="001B15E7">
            <w:pPr>
              <w:jc w:val="center"/>
              <w:rPr>
                <w:rFonts w:ascii="PT Astra Serif" w:hAnsi="PT Astra Serif" w:cs="Calibri"/>
                <w:color w:val="000000"/>
                <w:sz w:val="24"/>
                <w:szCs w:val="24"/>
              </w:rPr>
            </w:pPr>
            <w:r>
              <w:rPr>
                <w:rFonts w:ascii="PT Astra Serif" w:hAnsi="PT Astra Serif" w:cs="Calibri"/>
                <w:color w:val="000000"/>
                <w:sz w:val="24"/>
                <w:szCs w:val="24"/>
              </w:rPr>
              <w:t>385,94</w:t>
            </w:r>
          </w:p>
        </w:tc>
      </w:tr>
    </w:tbl>
    <w:p w:rsidR="006E4444" w:rsidRDefault="006E4444"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986599" w:rsidRDefault="003D3377"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986599">
        <w:rPr>
          <w:rFonts w:ascii="PT Astra Serif" w:hAnsi="PT Astra Serif"/>
          <w:sz w:val="24"/>
          <w:szCs w:val="24"/>
        </w:rPr>
        <w:t xml:space="preserve">Начало приема заявок на участие в аукционе – </w:t>
      </w:r>
      <w:r w:rsidR="00986599">
        <w:rPr>
          <w:rFonts w:ascii="PT Astra Serif" w:hAnsi="PT Astra Serif"/>
          <w:b/>
          <w:sz w:val="24"/>
          <w:szCs w:val="24"/>
        </w:rPr>
        <w:t>2</w:t>
      </w:r>
      <w:r w:rsidR="00394291">
        <w:rPr>
          <w:rFonts w:ascii="PT Astra Serif" w:hAnsi="PT Astra Serif"/>
          <w:b/>
          <w:sz w:val="24"/>
          <w:szCs w:val="24"/>
        </w:rPr>
        <w:t>1</w:t>
      </w:r>
      <w:r w:rsidR="00986599">
        <w:rPr>
          <w:rFonts w:ascii="PT Astra Serif" w:hAnsi="PT Astra Serif"/>
          <w:b/>
          <w:sz w:val="24"/>
          <w:szCs w:val="24"/>
        </w:rPr>
        <w:t xml:space="preserve">.07.2023 </w:t>
      </w:r>
      <w:r w:rsidR="00986599">
        <w:rPr>
          <w:rFonts w:ascii="PT Astra Serif" w:hAnsi="PT Astra Serif"/>
          <w:sz w:val="24"/>
          <w:szCs w:val="24"/>
        </w:rPr>
        <w:t xml:space="preserve">года в </w:t>
      </w:r>
      <w:r w:rsidR="00986599">
        <w:rPr>
          <w:rFonts w:ascii="PT Astra Serif" w:hAnsi="PT Astra Serif"/>
          <w:b/>
          <w:sz w:val="24"/>
          <w:szCs w:val="24"/>
        </w:rPr>
        <w:t>00:00</w:t>
      </w:r>
      <w:r w:rsidR="00986599">
        <w:rPr>
          <w:rFonts w:ascii="PT Astra Serif" w:hAnsi="PT Astra Serif"/>
          <w:sz w:val="24"/>
          <w:szCs w:val="24"/>
        </w:rPr>
        <w:t>.</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17.08.2023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18.08.2023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21.08.2023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986599" w:rsidRDefault="00986599"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22.08.2023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986599" w:rsidRDefault="00986599" w:rsidP="00986599">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EB30BB" w:rsidRDefault="00EB30BB" w:rsidP="009865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lastRenderedPageBreak/>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lastRenderedPageBreak/>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lastRenderedPageBreak/>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xml:space="preserve">.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w:t>
      </w:r>
      <w:r w:rsidR="00147C34" w:rsidRPr="003438B6">
        <w:rPr>
          <w:rFonts w:ascii="PT Astra Serif" w:hAnsi="PT Astra Serif"/>
          <w:sz w:val="24"/>
          <w:szCs w:val="24"/>
        </w:rPr>
        <w:lastRenderedPageBreak/>
        <w:t>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lastRenderedPageBreak/>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lastRenderedPageBreak/>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654794" w:rsidRDefault="00654794">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095DFF" w:rsidRDefault="00095DFF">
      <w:pPr>
        <w:spacing w:after="0" w:line="240" w:lineRule="auto"/>
        <w:ind w:left="6804"/>
        <w:rPr>
          <w:rFonts w:ascii="PT Astra Serif" w:hAnsi="PT Astra Serif" w:cs="Times New Roman"/>
          <w:bCs/>
          <w:sz w:val="24"/>
          <w:szCs w:val="24"/>
        </w:rPr>
      </w:pPr>
    </w:p>
    <w:p w:rsidR="00D75469" w:rsidRDefault="00D754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.2. Обеспечить функционирование НТО на условиях и в порядке, предусмотренных </w:t>
      </w:r>
      <w:r w:rsidRPr="00602FB2">
        <w:rPr>
          <w:rFonts w:ascii="PT Astra Serif" w:hAnsi="PT Astra Serif"/>
          <w:sz w:val="24"/>
          <w:szCs w:val="24"/>
        </w:rPr>
        <w:lastRenderedPageBreak/>
        <w:t>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 xml:space="preserve">раскладки товаров, а также складирование тары и запаса товаров на территории, </w:t>
      </w:r>
      <w:r w:rsidRPr="00AD22D7">
        <w:rPr>
          <w:rFonts w:ascii="PT Astra Serif" w:hAnsi="PT Astra Serif"/>
          <w:sz w:val="24"/>
          <w:szCs w:val="24"/>
        </w:rPr>
        <w:lastRenderedPageBreak/>
        <w:t>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w:t>
      </w:r>
      <w:r w:rsidRPr="00602FB2">
        <w:rPr>
          <w:rFonts w:ascii="PT Astra Serif" w:hAnsi="PT Astra Serif"/>
          <w:sz w:val="24"/>
          <w:szCs w:val="24"/>
        </w:rPr>
        <w:lastRenderedPageBreak/>
        <w:t xml:space="preserve">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xml:space="preserve">, в </w:t>
      </w:r>
      <w:r w:rsidRPr="00602FB2">
        <w:rPr>
          <w:rFonts w:ascii="PT Astra Serif" w:hAnsi="PT Astra Serif"/>
          <w:sz w:val="24"/>
          <w:szCs w:val="24"/>
        </w:rPr>
        <w:lastRenderedPageBreak/>
        <w:t>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C34FA7">
            <w:pPr>
              <w:widowControl w:val="0"/>
              <w:spacing w:after="0"/>
              <w:jc w:val="center"/>
              <w:rPr>
                <w:rFonts w:ascii="PT Astra Serif" w:hAnsi="PT Astra Serif"/>
                <w:sz w:val="24"/>
                <w:szCs w:val="24"/>
              </w:rPr>
            </w:pPr>
            <w:r w:rsidRPr="007B55A2">
              <w:rPr>
                <w:rFonts w:ascii="PT Astra Serif" w:hAnsi="PT Astra Serif"/>
                <w:sz w:val="24"/>
                <w:szCs w:val="24"/>
              </w:rPr>
              <w:t>________________/</w:t>
            </w:r>
            <w:r>
              <w:rPr>
                <w:rFonts w:ascii="PT Astra Serif" w:hAnsi="PT Astra Serif"/>
                <w:sz w:val="24"/>
                <w:szCs w:val="24"/>
              </w:rPr>
              <w:t>А.</w:t>
            </w:r>
            <w:r w:rsidR="00C34FA7">
              <w:rPr>
                <w:rFonts w:ascii="PT Astra Serif" w:hAnsi="PT Astra Serif"/>
                <w:sz w:val="24"/>
                <w:szCs w:val="24"/>
              </w:rPr>
              <w:t>М. Бунина</w:t>
            </w:r>
            <w:r>
              <w:rPr>
                <w:rFonts w:ascii="PT Astra Serif" w:hAnsi="PT Astra Serif"/>
                <w:sz w:val="24"/>
                <w:szCs w:val="24"/>
              </w:rPr>
              <w:t>/</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C34FA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w:t>
            </w:r>
            <w:r w:rsidR="00C34FA7">
              <w:rPr>
                <w:rFonts w:ascii="PT Astra Serif" w:hAnsi="PT Astra Serif"/>
                <w:sz w:val="24"/>
                <w:szCs w:val="24"/>
              </w:rPr>
              <w:t>М. Бунина</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B2D" w:rsidRDefault="007E1B2D" w:rsidP="00525281">
      <w:pPr>
        <w:spacing w:after="0" w:line="240" w:lineRule="auto"/>
      </w:pPr>
      <w:r>
        <w:separator/>
      </w:r>
    </w:p>
  </w:endnote>
  <w:endnote w:type="continuationSeparator" w:id="1">
    <w:p w:rsidR="007E1B2D" w:rsidRDefault="007E1B2D"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B2D" w:rsidRDefault="007E1B2D" w:rsidP="00525281">
      <w:pPr>
        <w:spacing w:after="0" w:line="240" w:lineRule="auto"/>
      </w:pPr>
      <w:r>
        <w:separator/>
      </w:r>
    </w:p>
  </w:footnote>
  <w:footnote w:type="continuationSeparator" w:id="1">
    <w:p w:rsidR="007E1B2D" w:rsidRDefault="007E1B2D"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D" w:rsidRDefault="007E1B2D">
    <w:pPr>
      <w:pStyle w:val="Header"/>
    </w:pPr>
  </w:p>
  <w:p w:rsidR="007E1B2D" w:rsidRDefault="007E1B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0"/>
  </w:num>
  <w:num w:numId="3">
    <w:abstractNumId w:val="12"/>
  </w:num>
  <w:num w:numId="4">
    <w:abstractNumId w:val="15"/>
  </w:num>
  <w:num w:numId="5">
    <w:abstractNumId w:val="14"/>
  </w:num>
  <w:num w:numId="6">
    <w:abstractNumId w:val="11"/>
  </w:num>
  <w:num w:numId="7">
    <w:abstractNumId w:val="8"/>
  </w:num>
  <w:num w:numId="8">
    <w:abstractNumId w:val="5"/>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95DFF"/>
    <w:rsid w:val="000B274F"/>
    <w:rsid w:val="000B4751"/>
    <w:rsid w:val="000C2962"/>
    <w:rsid w:val="000C430C"/>
    <w:rsid w:val="000D1F09"/>
    <w:rsid w:val="000D2442"/>
    <w:rsid w:val="00100B9A"/>
    <w:rsid w:val="00103DBC"/>
    <w:rsid w:val="00107A26"/>
    <w:rsid w:val="001102A9"/>
    <w:rsid w:val="00123A55"/>
    <w:rsid w:val="00147C34"/>
    <w:rsid w:val="00150571"/>
    <w:rsid w:val="001517EE"/>
    <w:rsid w:val="001626A7"/>
    <w:rsid w:val="00164400"/>
    <w:rsid w:val="00190AF7"/>
    <w:rsid w:val="001B1A7C"/>
    <w:rsid w:val="001B7E78"/>
    <w:rsid w:val="001E6AAE"/>
    <w:rsid w:val="002119D9"/>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511E1"/>
    <w:rsid w:val="00362281"/>
    <w:rsid w:val="003630D6"/>
    <w:rsid w:val="0037312C"/>
    <w:rsid w:val="00390AE9"/>
    <w:rsid w:val="00393650"/>
    <w:rsid w:val="00394291"/>
    <w:rsid w:val="003D3377"/>
    <w:rsid w:val="003D7EB9"/>
    <w:rsid w:val="004206F8"/>
    <w:rsid w:val="00423CF7"/>
    <w:rsid w:val="00437409"/>
    <w:rsid w:val="004440C5"/>
    <w:rsid w:val="00445212"/>
    <w:rsid w:val="0045288B"/>
    <w:rsid w:val="00454E07"/>
    <w:rsid w:val="00490E1E"/>
    <w:rsid w:val="00490E77"/>
    <w:rsid w:val="004A018B"/>
    <w:rsid w:val="004A04F7"/>
    <w:rsid w:val="004A0F33"/>
    <w:rsid w:val="004E1FCA"/>
    <w:rsid w:val="004E297C"/>
    <w:rsid w:val="004F4F2D"/>
    <w:rsid w:val="00502ED3"/>
    <w:rsid w:val="00517C8A"/>
    <w:rsid w:val="005205DD"/>
    <w:rsid w:val="00525281"/>
    <w:rsid w:val="0052540C"/>
    <w:rsid w:val="00526919"/>
    <w:rsid w:val="0055203B"/>
    <w:rsid w:val="00553AD4"/>
    <w:rsid w:val="005614E4"/>
    <w:rsid w:val="00563DB2"/>
    <w:rsid w:val="00570797"/>
    <w:rsid w:val="005A7630"/>
    <w:rsid w:val="005B2D6E"/>
    <w:rsid w:val="005C4C62"/>
    <w:rsid w:val="005D7BC8"/>
    <w:rsid w:val="00635EC7"/>
    <w:rsid w:val="006439FA"/>
    <w:rsid w:val="00647AF3"/>
    <w:rsid w:val="00654794"/>
    <w:rsid w:val="00666D56"/>
    <w:rsid w:val="00675E98"/>
    <w:rsid w:val="0067717D"/>
    <w:rsid w:val="006910B9"/>
    <w:rsid w:val="00691ADC"/>
    <w:rsid w:val="006B28C9"/>
    <w:rsid w:val="006C7F48"/>
    <w:rsid w:val="006E4444"/>
    <w:rsid w:val="006E6955"/>
    <w:rsid w:val="00704C5A"/>
    <w:rsid w:val="007220A4"/>
    <w:rsid w:val="00776977"/>
    <w:rsid w:val="007825C0"/>
    <w:rsid w:val="00786F25"/>
    <w:rsid w:val="00794F6F"/>
    <w:rsid w:val="007A1A20"/>
    <w:rsid w:val="007A6F7B"/>
    <w:rsid w:val="007C4450"/>
    <w:rsid w:val="007D4E9E"/>
    <w:rsid w:val="007D5401"/>
    <w:rsid w:val="007E1B2D"/>
    <w:rsid w:val="007F7886"/>
    <w:rsid w:val="00855355"/>
    <w:rsid w:val="00890A15"/>
    <w:rsid w:val="008E2A8A"/>
    <w:rsid w:val="008F3800"/>
    <w:rsid w:val="009136AA"/>
    <w:rsid w:val="00927602"/>
    <w:rsid w:val="00934504"/>
    <w:rsid w:val="009451A3"/>
    <w:rsid w:val="009748EE"/>
    <w:rsid w:val="0098016D"/>
    <w:rsid w:val="00986599"/>
    <w:rsid w:val="00990AA8"/>
    <w:rsid w:val="00994BF3"/>
    <w:rsid w:val="009A56D6"/>
    <w:rsid w:val="009B20B5"/>
    <w:rsid w:val="009B2D0A"/>
    <w:rsid w:val="009E3A91"/>
    <w:rsid w:val="009E3F27"/>
    <w:rsid w:val="009F2968"/>
    <w:rsid w:val="009F305A"/>
    <w:rsid w:val="00A13F2D"/>
    <w:rsid w:val="00A21B7B"/>
    <w:rsid w:val="00A26A22"/>
    <w:rsid w:val="00A52913"/>
    <w:rsid w:val="00A8128E"/>
    <w:rsid w:val="00A83880"/>
    <w:rsid w:val="00AA3248"/>
    <w:rsid w:val="00AB1AD0"/>
    <w:rsid w:val="00AC1118"/>
    <w:rsid w:val="00AF55BD"/>
    <w:rsid w:val="00B26DB2"/>
    <w:rsid w:val="00B6447C"/>
    <w:rsid w:val="00B71895"/>
    <w:rsid w:val="00BA4B62"/>
    <w:rsid w:val="00BC29F7"/>
    <w:rsid w:val="00BC2CDE"/>
    <w:rsid w:val="00BC2CF7"/>
    <w:rsid w:val="00BD3BD9"/>
    <w:rsid w:val="00BE6F24"/>
    <w:rsid w:val="00C105A1"/>
    <w:rsid w:val="00C31349"/>
    <w:rsid w:val="00C34FA7"/>
    <w:rsid w:val="00C6153F"/>
    <w:rsid w:val="00C718FE"/>
    <w:rsid w:val="00C72327"/>
    <w:rsid w:val="00C8677F"/>
    <w:rsid w:val="00CC7FD8"/>
    <w:rsid w:val="00CF120A"/>
    <w:rsid w:val="00D1085B"/>
    <w:rsid w:val="00D17DF2"/>
    <w:rsid w:val="00D2476C"/>
    <w:rsid w:val="00D340A8"/>
    <w:rsid w:val="00D5277C"/>
    <w:rsid w:val="00D52E82"/>
    <w:rsid w:val="00D52EFA"/>
    <w:rsid w:val="00D5636D"/>
    <w:rsid w:val="00D70B3D"/>
    <w:rsid w:val="00D75469"/>
    <w:rsid w:val="00D817E1"/>
    <w:rsid w:val="00D974B8"/>
    <w:rsid w:val="00DB3ECE"/>
    <w:rsid w:val="00DC01D9"/>
    <w:rsid w:val="00DF2AA4"/>
    <w:rsid w:val="00DF3AA6"/>
    <w:rsid w:val="00E36525"/>
    <w:rsid w:val="00E4135D"/>
    <w:rsid w:val="00E52A65"/>
    <w:rsid w:val="00E65EB6"/>
    <w:rsid w:val="00E84C08"/>
    <w:rsid w:val="00E8785E"/>
    <w:rsid w:val="00EA339F"/>
    <w:rsid w:val="00EB30BB"/>
    <w:rsid w:val="00EB351F"/>
    <w:rsid w:val="00ED6638"/>
    <w:rsid w:val="00EE47EC"/>
    <w:rsid w:val="00EE6D35"/>
    <w:rsid w:val="00EE6FE8"/>
    <w:rsid w:val="00F17E45"/>
    <w:rsid w:val="00F4138F"/>
    <w:rsid w:val="00F45DCF"/>
    <w:rsid w:val="00F57656"/>
    <w:rsid w:val="00F667BD"/>
    <w:rsid w:val="00F976AC"/>
    <w:rsid w:val="00FB13A6"/>
    <w:rsid w:val="00FB755C"/>
    <w:rsid w:val="00FC0F77"/>
    <w:rsid w:val="00FD5343"/>
    <w:rsid w:val="00FE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27</Pages>
  <Words>11113</Words>
  <Characters>63350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202</cp:revision>
  <cp:lastPrinted>2023-07-10T10:13:00Z</cp:lastPrinted>
  <dcterms:created xsi:type="dcterms:W3CDTF">2021-06-15T09:11:00Z</dcterms:created>
  <dcterms:modified xsi:type="dcterms:W3CDTF">2023-07-20T11:55:00Z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